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(2022)三狱减字第637号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罪犯刘建华，男，1994年6月9日出生，汉族，云南省龙陵县人，初级中学教育，现在云南省第三监狱服刑。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11月03日作出(2015)德刑三初字第211号刑事判决，以被告人刘建华犯运输毒品罪，判处有期徒刑十五年，并处没收个人财产人民币30000.00元。判决发生法律效力后，于2016年01月04日交付监狱执行刑罚。执行期间，于2018年08月03日经云南省昆明市中级人民法院以(2018)云01刑更9763号裁定，裁定减去有期徒刑九个月；于2020年08月18日经云南省昆明市中级人民法院以(2020)云01刑更3490号裁定，裁定减去有期徒刑九个月。现刑期自2015年6月3日至2028年12月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10月获记表扬4次，未履行财产性判项；期内月均消费103.37元，账户余额481.05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为此，根据《中华人民共和国刑法》第七十八条第一款、第七十九条、《中华人民共和国刑事诉讼法》第二百七十三条第二款、《中华人民共和国监狱法》第二十九条、第三十条之规定，建议对罪犯刘建华予以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