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(2022)三狱减字第518号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罪犯赫小强，男，1965年9月14日出生，汉族，江西省南昌县人，初级中学教育，现在云南省第三监狱服刑。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2012年10月23日作出(2012)西刑初字第398号刑事判决，以被告人赫小强犯贩卖毒品罪，判处死刑，缓期二年执行，剥夺政治权利终身，并处没收个人全部财产。宣判后，被告人赫小强不服，提出上诉。云南省高级人民法院于2013年05月17日作出(2013)云高刑终字第273号刑事裁定，驳回上诉，维持并核准原判。判决发生法律效力后，于2013年07月18日交付监狱执行刑罚。执行期间，于2015年09月07日经云南省高级人民法院以(2015)云高刑执字第2308号裁定，裁定减为无期徒刑，剥夺政治权利终身不变；于2019年10月22日经云南省高级人民法院以(2019)云刑更2019号裁定，裁定减为有期徒刑二十五年，剥夺政治权利改为十年。现刑期自2019年10月22日至2044年10月21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06月至2022年03月获记表扬6次，已履行没收个人财产人民币1000.00元，其中本次考核期内执行没收财产人民币1000.00元；期内月均消费91.59元，账户余额627.28元；于鉴定为疾病犯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为此，根据《中华人民共和国刑法》第七十八条第一款、第七十九条、《中华人民共和国刑事诉讼法》第二百七十三条第二款、《中华人民共和国监狱法》第二十九条、第三十条之规定，建议对罪犯赫小强予以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