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(2022)三狱减字第543号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罪犯陈波，男，1986年9月2日出生，汉族，四川省泸州市江阳区人，初级中学教育，现在云南省第三监狱服刑。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2012年12月18日作出(2012)普中刑初字第528号刑事判决，以被告人陈波犯贩卖、运输毒品罪，判处死刑，缓期二年执行，剥夺政治权利终身，并处没收个人全部财产。宣判后，被告人陈波不服，提出上诉。云南省高级人民法院于2013年09月05日作出(2013)云高刑终字第626号刑事裁定，驳回上诉，维持并核准原判。判决发生法律效力后，于2013年12月11日交付监狱执行刑罚。执行期间，于2016年02月18日经云南省高级人民法院以(2016)云更刑547号裁定，裁定减为无期徒刑，剥夺政治权利终身不变；于2019年09月02日经云南省高级人民法院以(2019)云刑更1515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2022年03月获记表扬7次，已履行没收个人财产人民币1000.00元，其中本次考核期内执行没收财产人民币1000.00元；期内月均消费86.00元，账户余额2448.00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为此，根据《中华人民共和国刑法》第七十八条第一款、第七十九条、《中华人民共和国刑事诉讼法》第二百七十三条第二款、《中华人民共和国监狱法》第二十九条、第三十条之规定，建议对罪犯陈波予以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