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罪犯岩相主，男，1985年5月5日出生，布朗族，云南省勐海县人，小学教育，现在云南省第三监狱服刑。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08月08日作出(2012)西刑初字第257号刑事判决，以被告人岩相主犯贩卖毒品罪，判处死刑，剥夺政治权利终身，并处没收个人全部财产。宣判后，被告人岩相主不服，提出上诉。云南省高级人民法院于2013年09月05日作出(2012)云高刑终字第1466号刑事判决，以被告人岩相主犯贩卖毒品罪，判处死刑，缓期二年执行，剥夺政治权利终身，并处没收个人全部财产。判决发生法律效力后，于2013年12月17日交付监狱执行刑罚。执行期间，于2016年02月18日经云南省高级人民法院以(2016)云更刑543号裁定，裁定减为无期徒刑，剥夺政治权利终身不变；于2019年10月22日经云南省高级人民法院以(2019)云刑更2054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已履行没收个人财产人民币1000.00元，其中本次考核期内执行没收财产人民币1000.00元；期内月均消费72.00元，账户余额1175.00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为此，根据《中华人民共和国刑法》第七十八条第一款、第七十九条、《中华人民共和国刑事诉讼法》第二百七十三条第二款、《中华人民共和国监狱法》第二十九条、第三十条之规定，建议对罪犯岩相主予以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