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罪犯岩温丙，男，1979年10月15日出生，傣族，云南省勐海县人，小学教育，现在云南省第三监狱服刑。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20日作出(2012)西刑初字第187号刑事判决，以被告人岩温丙犯运输毒品罪，判处死刑，缓期二年执行，剥夺政治权利终身，并处没收个人全部财产。并依法报请云南省高级人民法院核准，云南省高级人民法院于2013年09月13日作出(2013)云高刑复字第157号刑事裁定，核准原判。判决发生法律效力后，于2013年12月13日交付监狱执行刑罚。执行期间，于2016年02月18日经云南省高级人民法院以(2016)云更刑536号裁定，裁定减为无期徒刑，剥夺政治权利终身不变；于2019年12月12日经云南省高级人民法院以(2019)云刑更2674号裁定，裁定减为有期徒刑二十五年，剥夺政治权利改为十年。现刑期自2019年12月12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已履行没收个人财产人民币1000.00元，其中本次考核期内执行没收财产人民币1000.00元；期内月均消费79.00元，账户余额853.00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