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罪犯祁勒腊，男，1976年3月9日出生，景颇族，云南省芒市人，小学教育，现在云南省第三监狱服刑。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10月18日作出(2011)德刑初字第233号刑事判决，以被告人祁勒腊犯运输毒品罪，判处无期徒刑，剥夺政治权利终身，并处没收个人全部财产。宣判后，被告人祁勒腊不服，提出上诉。云南省高级人民法院于2011年12月15日作出(2011)云高刑终字第1521号刑事裁定，驳回上诉，维持原判。判决发生法律效力后，于2012年04月09日交付监狱执行刑罚。执行期间，于2014年09月25日经云南省高级人民法院以(2014)云高刑执字第2548号裁定，裁定减为有期徒刑十九年九个月；于2016年12月27日经云南省昆明市中级人民法院以(2016)云01刑更20618号裁定，裁定减去有期徒刑十个月；于2019年07月01日经云南省昆明市中级人民法院以(2019)云01刑更5155号裁定，裁定减去有期徒刑九个月，剥夺政治权利七年不变。现刑期自2014年9月25日至2032年11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09月获记表扬6次，已履行没收个人财产人民币1000.00元，其中本次考核期内执行没收财产人民币1000.00元；期内月均消费61.65元，账户余额417.70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为此，根据《中华人民共和国刑法》第七十八条第一款、第七十九条、《中华人民共和国刑事诉讼法》第二百七十三条第二款、《中华人民共和国监狱法》第二十九条、第三十条之规定，建议对罪犯祁勒腊予以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