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(2022)三狱减字第347号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罪犯马日子委，男，1988年7月3日出生，彝族，四川省布拖县人，小学教育，现在云南省第三监狱服刑。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09月27日作出(2012)西刑初字第275号刑事判决，以被告人马日子委犯运输毒品罪，判处死刑，剥夺政治权利终身，并处没收个人全部财产。宣判后，被告人马日子委不服，提出上诉。云南省高级人民法院于2013年05月30日作出(2012)云高刑终字第1811号刑事判决，以被告人马日子委犯运输毒品罪，判处死刑，缓期二年执行，剥夺政治权利终身，并处没收个人全部财产。判决发生法律效力后，于2013年08月19日交付监狱执行刑罚。执行期间，于2015年11月20日经云南省高级人民法院以(2015)云高刑执字第2923号裁定，裁定减为无期徒刑，剥夺政治权利终身不变；于2019年11月05日经云南省高级人民法院以(2019)云刑更2069号裁定，裁定减为有期徒刑二十五年，剥夺政治权利改为十年。现刑期自2019年11月5日至2044年11月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09月获记表扬5次，已履行没收个人财产人民币1000.00元，其中本次考核期内执行没收财产人民币1000.00元；期内月均消费111.44元，账户余额2646.63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为此，根据《中华人民共和国刑法》第七十八条第一款、第七十九条、《中华人民共和国刑事诉讼法》第二百七十三条第二款、《中华人民共和国监狱法》第二十九条、第三十条之规定，建议对罪犯马日子委予以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