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罪犯李玉海，男，1986年11月24日出生，汉族，云南省施甸县人，初级中学教育，现在云南省第三监狱服刑。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德宏傣族景颇族自治州中级人民法院于2012年08月07日作出(2012)德刑三初字第109号刑事判决，以被告人李玉海犯贩卖、运输毒品罪，判处死刑，缓期二年执行，剥夺政治权利终身，并处没收个人全部财产；犯非法持有毒品罪，判处有期徒刑七年，并处罚金人民币20000.00元，数罪并罚，决定执行死刑，缓期二年执行，剥夺政治权利终身，并处没收个人全部财产；罚金人民币20000.00元。法定期限内，没有上诉、抗诉，云南省高级人民法院于2012年11月29日作(2012)云高刑复字第409号刑事裁定书，核准原判。判决发生法律效力后，于2013年03月14日交付监狱执行刑罚。执行期间，于2015年04月09日经云南省高级人民法院以(2015)云高刑执字第893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号裁定，裁定减为无期徒刑，剥夺政治权利终身不变；于2019年09月02日经云南省高级人民法院以(2019)云刑更1473号裁定，裁定减为有期徒刑二十五年，剥夺政治权利改为十年。现刑期自2019年9月2日至2044年9月1日止。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07月获记表扬5次，另查明，该犯系数罪并罚被判处死刑缓期执行的罪犯，累犯；未履行财产性判项；期内月均消费82.46元，账户余额673.52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为此，根据《中华人民共和国刑法》第七十八条第一款、第七十九条、《中华人民共和国刑事诉讼法》第二百七十三条第二款、《中华人民共和国监狱法》第二十九条、第三十条之规定，建议对罪犯李玉海予以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