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(2022)三狱减字第227号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罪犯杨明旺，男，1991年1月25日出生，汉族，云南省芒市人，初级中学教育，现在云南省第三监狱服刑。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2013年08月27日作出(2013)德刑一初字第48号刑事判决，以被告人杨明旺犯故意伤害罪，判处死刑，缓期二年执行，；犯盗窃罪，判处有期徒刑一年，并处罚金人民币1000.00元；犯掩饰、隐瞒犯罪所得罪，判处拘役一个月，并处罚金人民币1000.00元，数罪并罚，决定执行死刑，缓期二年执行，剥夺政治权利终身，并处罚金人民币2000.00元。宣判后，刑事附带民事诉讼原告人不服，提出上诉。云南省高级人民法院于2013年11月13日作出(2013)云高刑终字第1411号刑事裁定，驳回上诉，维持并核准原判。判决发生法律效力后，于2014年02月20日交付监狱执行刑罚。执行期间，于2016年03月14日经云南省高级人民法院以(2016)云刑更617号裁定，裁定减为无期徒刑，剥夺政治权利终身不变；于2019年10月22日经云南省高级人民法院以(2019)云刑更2057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另查明，该犯系数罪并罚被判处死刑缓期执行的罪犯；罚金已全部履行；期内月均消费78.00元，账户余额3472.00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为此，根据《中华人民共和国刑法》第七十八条第一款、第七十九条、《中华人民共和国刑事诉讼法》第二百七十三条第二款、《中华人民共和国监狱法》第二十九条、第三十条之规定，建议对罪犯杨明旺予以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