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罪犯沙别，男，1977年9月9日出生，哈尼族，云南省勐海县人，小学教育，现在云南省第三监狱服刑。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09月21日作出(2012)西刑初字第365号刑事判决，以被告人沙别犯运输毒品罪，判处死刑，缓期二年执行，剥夺政治权利终身，并处没收个人全部财产。宣判后，被告人沙别不服，提出上诉。云南省高级人民法院于2013年04月07日作出(2013)云高刑终字第269号刑事裁定，驳回上诉，维持并核准原判。判决发生法律效力后，于2013年05月15日交付监狱执行刑罚。执行期间，于2015年07月07日经云南省高级人民法院以(2015)云高刑执字第1752号裁定，裁定减为无期徒刑，剥夺政治权利终身不变；于2019年09月02日经云南省高级人民法院以(2019)云刑更1467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6次，已履行没收个人财产人民币1000.00元，其中本次考核期内执行没收财产人民币1000.00元；期内月均消费70.00元，账户余额486.00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为此，根据《中华人民共和国刑法》第七十八条第一款、第七十九条、《中华人民共和国刑事诉讼法》第二百七十三条第二款、《中华人民共和国监狱法》第二十九条、第三十条之规定，建议对罪犯沙别予以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